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2736241" name="Picture">
</wp:docPr>
                  <a:graphic>
                    <a:graphicData uri="http://schemas.openxmlformats.org/drawingml/2006/picture">
                      <pic:pic>
                        <pic:nvPicPr>
                          <pic:cNvPr id="2273624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890.22.00133 Модернизация систем видеонаблюдения на объектах ПАО "Саратовэнерго"</w:t>
            </w: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r>
      <w:tr>
        <w:trPr>
          <w:trHeight w:hRule="exact" w:val="13660"/>
        </w:trPr>
        <w:tc>
          <w:tcPr>
     </w:tcPr>
          <w:p>
            <w:pPr>
              <w:pStyle w:val="EMPTY_CELL_STYLE"/>
            </w:pPr>
          </w:p>
        </w:tc>
        <w:tc>
          <w:tcPr>
            <w:tcMar>
              <w:top w:w="0" w:type="dxa"/>
              <w:left w:w="0" w:type="dxa"/>
              <w:bottom w:w="0" w:type="dxa"/>
              <w:right w:w="0" w:type="dxa"/>
            </w:tcMar>
          </w:tcPr>
          <w:tbl>
            <w:tblPr>
              <w:tblLayout w:type="fixed"/>
            </w:tblPr>
            <w:tblGrid>
              <w:gridCol w:w="8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2200"/>
        </w:trPr>
        <w:tc>
          <w:tcPr>
     </w:tcPr>
          <w:p>
            <w:pPr>
              <w:pStyle w:val="EMPTY_CELL_STYLE"/>
            </w:pPr>
          </w:p>
        </w:tc>
        <w:tc>
          <w:tcPr>
            <w:tcMar>
              <w:top w:w="0" w:type="dxa"/>
              <w:left w:w="0" w:type="dxa"/>
              <w:bottom w:w="0" w:type="dxa"/>
              <w:right w:w="0" w:type="dxa"/>
            </w:tcMar>
          </w:tcPr>
          <w:tbl>
            <w:tblPr>
              <w:tblLayout w:type="fixed"/>
            </w:tblPr>
            <w:tblGrid>
              <w:gridCol w:w="800"/>
              <w:gridCol w:w="3000"/>
              <w:gridCol w:w="2000"/>
              <w:gridCol w:w="1400"/>
              <w:gridCol w:w="1400"/>
              <w:gridCol w:w="1400"/>
              <w:gridCol w:w="1400"/>
            </w:tblGrid>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64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4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При этом, в случае, если закупочная процедура проводится в соответствии с Федеральным законом от 18.07.2011 223-ФЗ и в рамках закупки предусмотрена возможность поставки товаров (работ услуг) как иностранного, так и Российского происхождения, то:</w:t>
                    <w:br/>
                    <w:t xml:space="preserve">А) Оценка и сопоставление заявок на участие в закупке, которые содержат предложения о поставке товаров российского происхождения (и/или происхождения в иной стране, также имеющей преференции согласно Постановлению Правительства Российской Федерации от 16.09.2016 №925), выполнении работ, оказании услуг российскими лицами (или иностранными лицами, также имеющими преференции согласно Постановлению Правительства Российской Федерации от 16.09.2016 №925) в объеме более 50% стоимости всех предложенных участником товаров, работ, услуг, оцениваются по критерию «Цена договора» по предложенной в заявке цене договора, сниженной на 15%.</w:t>
                    <w:br/>
                    <w:t xml:space="preserve">Б) Если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31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8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происхождения, приоритет таким участникам не предоставляется и преференции при оценке критерия «Цена договора» в размере 15% от цены договора не применяются.)</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33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890.22.00133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890.22.00133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890.22.00133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890.22.00133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890.22.00133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886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 ИЛИ в случае отсутствия данного требования в ТЗ</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6" w:name="JR_PAGE_ANCHOR_0_12"/>
            <w:bookmarkEnd w:id="36"/>
          </w:p>
        </w:tc>
        <w:tc>
          <w:tcPr>
     </w:tcPr>
          <w:p>
            <w:pPr>
              <w:pStyle w:val="EMPTY_CELL_STYLE"/>
            </w:pPr>
          </w:p>
        </w:tc>
        <w:tc>
          <w:tcPr>
     </w:tcPr>
          <w:p>
            <w:pPr>
              <w:pStyle w:val="EMPTY_CELL_STYLE"/>
            </w:pPr>
          </w:p>
        </w:tc>
      </w:tr>
      <w:tr>
        <w:trPr>
          <w:trHeight w:hRule="exact" w:val="468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